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C6A4E" w14:textId="77777777" w:rsidR="00450CA2" w:rsidRDefault="00450CA2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471B76" w14:textId="619F78F2" w:rsidR="00450CA2" w:rsidRDefault="00450CA2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EFD560" w14:textId="34D98836" w:rsidR="00BE56BF" w:rsidRDefault="00BE56BF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84B4C46" w14:textId="1BB9C5F1" w:rsidR="00BE56BF" w:rsidRDefault="00BE56BF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0EB5DFB" w14:textId="77777777" w:rsidR="00BE56BF" w:rsidRDefault="00BE56BF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7F551A2" w14:textId="77777777" w:rsidR="00450CA2" w:rsidRDefault="00450CA2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949B6E7" w14:textId="77777777" w:rsidR="00450CA2" w:rsidRDefault="00450CA2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BFA89EB" w14:textId="77777777" w:rsidR="00450CA2" w:rsidRDefault="00450CA2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589D996" w14:textId="77777777" w:rsidR="00450CA2" w:rsidRDefault="00450CA2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46D0178" w14:textId="77777777" w:rsidR="00951857" w:rsidRDefault="00450CA2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Classification of K-12 Students by assigning them Specific Schools for Racial Balance</w:t>
      </w:r>
    </w:p>
    <w:p w14:paraId="44DE385A" w14:textId="77777777" w:rsidR="00450CA2" w:rsidRDefault="00450CA2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C24B3C8" w14:textId="77777777" w:rsidR="00450CA2" w:rsidRDefault="00450CA2" w:rsidP="00BE56BF">
      <w:pPr>
        <w:tabs>
          <w:tab w:val="left" w:pos="225"/>
          <w:tab w:val="center" w:pos="468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Institutional Affiliation</w:t>
      </w:r>
    </w:p>
    <w:p w14:paraId="54AB7B5D" w14:textId="77777777" w:rsidR="00450CA2" w:rsidRDefault="00450CA2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D8A16F" w14:textId="77777777" w:rsidR="00BE56BF" w:rsidRDefault="00BE5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A8781A" w14:textId="04634848" w:rsidR="00450CA2" w:rsidRDefault="00450CA2" w:rsidP="00BE56B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Classification of K-12 Students by assigning them to Specific Schools for Racial Balance</w:t>
      </w:r>
    </w:p>
    <w:p w14:paraId="47145BB4" w14:textId="77777777" w:rsidR="00450CA2" w:rsidRDefault="00784243" w:rsidP="00BE56BF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84243">
        <w:rPr>
          <w:rFonts w:ascii="Times New Roman" w:hAnsi="Times New Roman" w:cs="Times New Roman"/>
          <w:b/>
          <w:sz w:val="24"/>
          <w:szCs w:val="24"/>
        </w:rPr>
        <w:t>Factual Background</w:t>
      </w:r>
    </w:p>
    <w:p w14:paraId="730EF58F" w14:textId="720351BA" w:rsidR="00784243" w:rsidRDefault="00784243" w:rsidP="00BE56BF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Supreme </w:t>
      </w:r>
      <w:r w:rsidR="00CE598B">
        <w:rPr>
          <w:rFonts w:ascii="Times New Roman" w:hAnsi="Times New Roman" w:cs="Times New Roman"/>
          <w:sz w:val="24"/>
          <w:szCs w:val="24"/>
        </w:rPr>
        <w:t xml:space="preserve">Court has played an integral part </w:t>
      </w:r>
      <w:r w:rsidR="007075CC">
        <w:rPr>
          <w:rFonts w:ascii="Times New Roman" w:hAnsi="Times New Roman" w:cs="Times New Roman"/>
          <w:sz w:val="24"/>
          <w:szCs w:val="24"/>
        </w:rPr>
        <w:t xml:space="preserve">for the last 50 years </w:t>
      </w:r>
      <w:r w:rsidR="00CE598B">
        <w:rPr>
          <w:rFonts w:ascii="Times New Roman" w:hAnsi="Times New Roman" w:cs="Times New Roman"/>
          <w:sz w:val="24"/>
          <w:szCs w:val="24"/>
        </w:rPr>
        <w:t xml:space="preserve">in ensuring that </w:t>
      </w:r>
      <w:r w:rsidR="00755D3B">
        <w:rPr>
          <w:rFonts w:ascii="Times New Roman" w:hAnsi="Times New Roman" w:cs="Times New Roman"/>
          <w:sz w:val="24"/>
          <w:szCs w:val="24"/>
        </w:rPr>
        <w:t>student</w:t>
      </w:r>
      <w:r w:rsidR="0069768E">
        <w:rPr>
          <w:rFonts w:ascii="Times New Roman" w:hAnsi="Times New Roman" w:cs="Times New Roman"/>
          <w:sz w:val="24"/>
          <w:szCs w:val="24"/>
        </w:rPr>
        <w:t xml:space="preserve">s </w:t>
      </w:r>
      <w:r w:rsidR="00755D3B">
        <w:rPr>
          <w:rFonts w:ascii="Times New Roman" w:hAnsi="Times New Roman" w:cs="Times New Roman"/>
          <w:sz w:val="24"/>
          <w:szCs w:val="24"/>
        </w:rPr>
        <w:t xml:space="preserve">of different racial backgrounds </w:t>
      </w:r>
      <w:r w:rsidR="0069768E">
        <w:rPr>
          <w:rFonts w:ascii="Times New Roman" w:hAnsi="Times New Roman" w:cs="Times New Roman"/>
          <w:sz w:val="24"/>
          <w:szCs w:val="24"/>
        </w:rPr>
        <w:t>are int</w:t>
      </w:r>
      <w:r w:rsidR="007075CC">
        <w:rPr>
          <w:rFonts w:ascii="Times New Roman" w:hAnsi="Times New Roman" w:cs="Times New Roman"/>
          <w:sz w:val="24"/>
          <w:szCs w:val="24"/>
        </w:rPr>
        <w:t>egrated in American public schools</w:t>
      </w:r>
      <w:r w:rsidR="0069768E">
        <w:rPr>
          <w:rFonts w:ascii="Times New Roman" w:hAnsi="Times New Roman" w:cs="Times New Roman"/>
          <w:sz w:val="24"/>
          <w:szCs w:val="24"/>
        </w:rPr>
        <w:t>.</w:t>
      </w:r>
      <w:r w:rsidR="00623685">
        <w:rPr>
          <w:rFonts w:ascii="Times New Roman" w:hAnsi="Times New Roman" w:cs="Times New Roman"/>
          <w:sz w:val="24"/>
          <w:szCs w:val="24"/>
        </w:rPr>
        <w:t xml:space="preserve"> The integration </w:t>
      </w:r>
      <w:r w:rsidR="00117E83">
        <w:rPr>
          <w:rFonts w:ascii="Times New Roman" w:hAnsi="Times New Roman" w:cs="Times New Roman"/>
          <w:sz w:val="24"/>
          <w:szCs w:val="24"/>
        </w:rPr>
        <w:t xml:space="preserve">streamlines with the promises of Brown’s Board of Education (Anderson, 2005). </w:t>
      </w:r>
      <w:r w:rsidR="00197DD2">
        <w:rPr>
          <w:rFonts w:ascii="Times New Roman" w:hAnsi="Times New Roman" w:cs="Times New Roman"/>
          <w:sz w:val="24"/>
          <w:szCs w:val="24"/>
        </w:rPr>
        <w:t xml:space="preserve">However, in the recent past, the court system has neutralized the efforts </w:t>
      </w:r>
      <w:r w:rsidR="007075CC">
        <w:rPr>
          <w:rFonts w:ascii="Times New Roman" w:hAnsi="Times New Roman" w:cs="Times New Roman"/>
          <w:sz w:val="24"/>
          <w:szCs w:val="24"/>
        </w:rPr>
        <w:t xml:space="preserve">with </w:t>
      </w:r>
      <w:r w:rsidR="00197DD2">
        <w:rPr>
          <w:rFonts w:ascii="Times New Roman" w:hAnsi="Times New Roman" w:cs="Times New Roman"/>
          <w:sz w:val="24"/>
          <w:szCs w:val="24"/>
        </w:rPr>
        <w:t xml:space="preserve">ruling against decrees that </w:t>
      </w:r>
      <w:r w:rsidR="00B4213F">
        <w:rPr>
          <w:rFonts w:ascii="Times New Roman" w:hAnsi="Times New Roman" w:cs="Times New Roman"/>
          <w:sz w:val="24"/>
          <w:szCs w:val="24"/>
        </w:rPr>
        <w:t xml:space="preserve">support compulsory </w:t>
      </w:r>
      <w:r w:rsidR="00B95266">
        <w:rPr>
          <w:rFonts w:ascii="Times New Roman" w:hAnsi="Times New Roman" w:cs="Times New Roman"/>
          <w:sz w:val="24"/>
          <w:szCs w:val="24"/>
        </w:rPr>
        <w:t xml:space="preserve">desegregation </w:t>
      </w:r>
      <w:r w:rsidR="00097F4F">
        <w:rPr>
          <w:rFonts w:ascii="Times New Roman" w:hAnsi="Times New Roman" w:cs="Times New Roman"/>
          <w:sz w:val="24"/>
          <w:szCs w:val="24"/>
        </w:rPr>
        <w:t xml:space="preserve">policies. Most of the districts </w:t>
      </w:r>
      <w:r w:rsidR="00331BBE">
        <w:rPr>
          <w:rFonts w:ascii="Times New Roman" w:hAnsi="Times New Roman" w:cs="Times New Roman"/>
          <w:sz w:val="24"/>
          <w:szCs w:val="24"/>
        </w:rPr>
        <w:t xml:space="preserve">in the US, therefore, exercise their freedom </w:t>
      </w:r>
      <w:r w:rsidR="00313BEE">
        <w:rPr>
          <w:rFonts w:ascii="Times New Roman" w:hAnsi="Times New Roman" w:cs="Times New Roman"/>
          <w:sz w:val="24"/>
          <w:szCs w:val="24"/>
        </w:rPr>
        <w:t>of voluntary integration plans.</w:t>
      </w:r>
      <w:r w:rsidR="00AF253E">
        <w:rPr>
          <w:rFonts w:ascii="Times New Roman" w:hAnsi="Times New Roman" w:cs="Times New Roman"/>
          <w:sz w:val="24"/>
          <w:szCs w:val="24"/>
        </w:rPr>
        <w:t xml:space="preserve"> The plans </w:t>
      </w:r>
      <w:r w:rsidR="00EC0465">
        <w:rPr>
          <w:rFonts w:ascii="Times New Roman" w:hAnsi="Times New Roman" w:cs="Times New Roman"/>
          <w:sz w:val="24"/>
          <w:szCs w:val="24"/>
        </w:rPr>
        <w:t xml:space="preserve">met </w:t>
      </w:r>
      <w:r w:rsidR="00AB3CBC">
        <w:rPr>
          <w:rFonts w:ascii="Times New Roman" w:hAnsi="Times New Roman" w:cs="Times New Roman"/>
          <w:sz w:val="24"/>
          <w:szCs w:val="24"/>
        </w:rPr>
        <w:t xml:space="preserve">resistance with numerous legal battles that seek compliance </w:t>
      </w:r>
      <w:r w:rsidR="007075CC">
        <w:rPr>
          <w:rFonts w:ascii="Times New Roman" w:hAnsi="Times New Roman" w:cs="Times New Roman"/>
          <w:sz w:val="24"/>
          <w:szCs w:val="24"/>
        </w:rPr>
        <w:t xml:space="preserve">to </w:t>
      </w:r>
      <w:r w:rsidR="00AB3CBC">
        <w:rPr>
          <w:rFonts w:ascii="Times New Roman" w:hAnsi="Times New Roman" w:cs="Times New Roman"/>
          <w:sz w:val="24"/>
          <w:szCs w:val="24"/>
        </w:rPr>
        <w:t>the Supreme Court’s decision.</w:t>
      </w:r>
      <w:r w:rsidR="00D6408D">
        <w:rPr>
          <w:rFonts w:ascii="Times New Roman" w:hAnsi="Times New Roman" w:cs="Times New Roman"/>
          <w:sz w:val="24"/>
          <w:szCs w:val="24"/>
        </w:rPr>
        <w:t xml:space="preserve"> The </w:t>
      </w:r>
      <w:r w:rsidR="00AD49EE">
        <w:rPr>
          <w:rFonts w:ascii="Times New Roman" w:hAnsi="Times New Roman" w:cs="Times New Roman"/>
          <w:sz w:val="24"/>
          <w:szCs w:val="24"/>
        </w:rPr>
        <w:t>existing l</w:t>
      </w:r>
      <w:r w:rsidR="00D6408D">
        <w:rPr>
          <w:rFonts w:ascii="Times New Roman" w:hAnsi="Times New Roman" w:cs="Times New Roman"/>
          <w:sz w:val="24"/>
          <w:szCs w:val="24"/>
        </w:rPr>
        <w:t xml:space="preserve">egal </w:t>
      </w:r>
      <w:r w:rsidR="00AD49EE">
        <w:rPr>
          <w:rFonts w:ascii="Times New Roman" w:hAnsi="Times New Roman" w:cs="Times New Roman"/>
          <w:sz w:val="24"/>
          <w:szCs w:val="24"/>
        </w:rPr>
        <w:t xml:space="preserve">framework is instrumental in assignment of </w:t>
      </w:r>
      <w:r w:rsidR="00144C91">
        <w:rPr>
          <w:rFonts w:ascii="Times New Roman" w:hAnsi="Times New Roman" w:cs="Times New Roman"/>
          <w:sz w:val="24"/>
          <w:szCs w:val="24"/>
        </w:rPr>
        <w:t xml:space="preserve">K-12 students in kindergartens. The </w:t>
      </w:r>
      <w:r w:rsidR="006B5F0C">
        <w:rPr>
          <w:rFonts w:ascii="Times New Roman" w:hAnsi="Times New Roman" w:cs="Times New Roman"/>
          <w:sz w:val="24"/>
          <w:szCs w:val="24"/>
        </w:rPr>
        <w:t xml:space="preserve">admission </w:t>
      </w:r>
      <w:r w:rsidR="002B298C">
        <w:rPr>
          <w:rFonts w:ascii="Times New Roman" w:hAnsi="Times New Roman" w:cs="Times New Roman"/>
          <w:sz w:val="24"/>
          <w:szCs w:val="24"/>
        </w:rPr>
        <w:t xml:space="preserve">process met challenges </w:t>
      </w:r>
      <w:r w:rsidR="007075CC">
        <w:rPr>
          <w:rFonts w:ascii="Times New Roman" w:hAnsi="Times New Roman" w:cs="Times New Roman"/>
          <w:sz w:val="24"/>
          <w:szCs w:val="24"/>
        </w:rPr>
        <w:t xml:space="preserve">due to </w:t>
      </w:r>
      <w:r w:rsidR="00320432">
        <w:rPr>
          <w:rFonts w:ascii="Times New Roman" w:hAnsi="Times New Roman" w:cs="Times New Roman"/>
          <w:sz w:val="24"/>
          <w:szCs w:val="24"/>
        </w:rPr>
        <w:t xml:space="preserve">divided </w:t>
      </w:r>
      <w:r w:rsidR="009D7664">
        <w:rPr>
          <w:rFonts w:ascii="Times New Roman" w:hAnsi="Times New Roman" w:cs="Times New Roman"/>
          <w:sz w:val="24"/>
          <w:szCs w:val="24"/>
        </w:rPr>
        <w:t xml:space="preserve">opinions on whether to </w:t>
      </w:r>
      <w:r w:rsidR="001848F3">
        <w:rPr>
          <w:rFonts w:ascii="Times New Roman" w:hAnsi="Times New Roman" w:cs="Times New Roman"/>
          <w:sz w:val="24"/>
          <w:szCs w:val="24"/>
        </w:rPr>
        <w:t xml:space="preserve">put into account </w:t>
      </w:r>
      <w:r w:rsidR="004C7ACD">
        <w:rPr>
          <w:rFonts w:ascii="Times New Roman" w:hAnsi="Times New Roman" w:cs="Times New Roman"/>
          <w:sz w:val="24"/>
          <w:szCs w:val="24"/>
        </w:rPr>
        <w:t>racial factors.</w:t>
      </w:r>
      <w:r w:rsidR="00F44B73">
        <w:rPr>
          <w:rFonts w:ascii="Times New Roman" w:hAnsi="Times New Roman" w:cs="Times New Roman"/>
          <w:sz w:val="24"/>
          <w:szCs w:val="24"/>
        </w:rPr>
        <w:t xml:space="preserve"> Consequently, </w:t>
      </w:r>
      <w:r w:rsidR="00A423D5">
        <w:rPr>
          <w:rFonts w:ascii="Times New Roman" w:hAnsi="Times New Roman" w:cs="Times New Roman"/>
          <w:sz w:val="24"/>
          <w:szCs w:val="24"/>
        </w:rPr>
        <w:t>K-12 admissions transitioned t</w:t>
      </w:r>
      <w:r w:rsidR="00B91F0D">
        <w:rPr>
          <w:rFonts w:ascii="Times New Roman" w:hAnsi="Times New Roman" w:cs="Times New Roman"/>
          <w:sz w:val="24"/>
          <w:szCs w:val="24"/>
        </w:rPr>
        <w:t xml:space="preserve">o generalized programs </w:t>
      </w:r>
      <w:r w:rsidR="00134437">
        <w:rPr>
          <w:rFonts w:ascii="Times New Roman" w:hAnsi="Times New Roman" w:cs="Times New Roman"/>
          <w:sz w:val="24"/>
          <w:szCs w:val="24"/>
        </w:rPr>
        <w:t>disregarding the specialized racial discourse</w:t>
      </w:r>
      <w:r w:rsidR="00F819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819C9">
        <w:rPr>
          <w:rFonts w:ascii="Times New Roman" w:hAnsi="Times New Roman" w:cs="Times New Roman"/>
          <w:sz w:val="24"/>
          <w:szCs w:val="24"/>
        </w:rPr>
        <w:t>Egelko</w:t>
      </w:r>
      <w:proofErr w:type="spellEnd"/>
      <w:r w:rsidR="00F819C9">
        <w:rPr>
          <w:rFonts w:ascii="Times New Roman" w:hAnsi="Times New Roman" w:cs="Times New Roman"/>
          <w:sz w:val="24"/>
          <w:szCs w:val="24"/>
        </w:rPr>
        <w:t>, 2007)</w:t>
      </w:r>
      <w:r w:rsidR="00134437">
        <w:rPr>
          <w:rFonts w:ascii="Times New Roman" w:hAnsi="Times New Roman" w:cs="Times New Roman"/>
          <w:sz w:val="24"/>
          <w:szCs w:val="24"/>
        </w:rPr>
        <w:t>.</w:t>
      </w:r>
      <w:r w:rsidR="00F072D4">
        <w:rPr>
          <w:rFonts w:ascii="Times New Roman" w:hAnsi="Times New Roman" w:cs="Times New Roman"/>
          <w:sz w:val="24"/>
          <w:szCs w:val="24"/>
        </w:rPr>
        <w:t xml:space="preserve"> There is </w:t>
      </w:r>
      <w:r w:rsidR="00B135A0">
        <w:rPr>
          <w:rFonts w:ascii="Times New Roman" w:hAnsi="Times New Roman" w:cs="Times New Roman"/>
          <w:sz w:val="24"/>
          <w:szCs w:val="24"/>
        </w:rPr>
        <w:t xml:space="preserve">unclear </w:t>
      </w:r>
      <w:r w:rsidR="008F701B">
        <w:rPr>
          <w:rFonts w:ascii="Times New Roman" w:hAnsi="Times New Roman" w:cs="Times New Roman"/>
          <w:sz w:val="24"/>
          <w:szCs w:val="24"/>
        </w:rPr>
        <w:t xml:space="preserve">directive </w:t>
      </w:r>
      <w:r w:rsidR="00D776F9">
        <w:rPr>
          <w:rFonts w:ascii="Times New Roman" w:hAnsi="Times New Roman" w:cs="Times New Roman"/>
          <w:sz w:val="24"/>
          <w:szCs w:val="24"/>
        </w:rPr>
        <w:t xml:space="preserve">from the </w:t>
      </w:r>
      <w:r w:rsidR="00F47AD3">
        <w:rPr>
          <w:rFonts w:ascii="Times New Roman" w:hAnsi="Times New Roman" w:cs="Times New Roman"/>
          <w:sz w:val="24"/>
          <w:szCs w:val="24"/>
        </w:rPr>
        <w:t>Supreme Court</w:t>
      </w:r>
      <w:r w:rsidR="007075CC">
        <w:rPr>
          <w:rFonts w:ascii="Times New Roman" w:hAnsi="Times New Roman" w:cs="Times New Roman"/>
          <w:sz w:val="24"/>
          <w:szCs w:val="24"/>
        </w:rPr>
        <w:t xml:space="preserve"> concerning the matter,</w:t>
      </w:r>
      <w:r w:rsidR="00F47AD3">
        <w:rPr>
          <w:rFonts w:ascii="Times New Roman" w:hAnsi="Times New Roman" w:cs="Times New Roman"/>
          <w:sz w:val="24"/>
          <w:szCs w:val="24"/>
        </w:rPr>
        <w:t xml:space="preserve"> smaller courts </w:t>
      </w:r>
      <w:r w:rsidR="007075CC">
        <w:rPr>
          <w:rFonts w:ascii="Times New Roman" w:hAnsi="Times New Roman" w:cs="Times New Roman"/>
          <w:sz w:val="24"/>
          <w:szCs w:val="24"/>
        </w:rPr>
        <w:t xml:space="preserve">are, therefore, </w:t>
      </w:r>
      <w:r w:rsidR="00F47AD3">
        <w:rPr>
          <w:rFonts w:ascii="Times New Roman" w:hAnsi="Times New Roman" w:cs="Times New Roman"/>
          <w:sz w:val="24"/>
          <w:szCs w:val="24"/>
        </w:rPr>
        <w:t xml:space="preserve">in a dilemma </w:t>
      </w:r>
      <w:r w:rsidR="007075CC">
        <w:rPr>
          <w:rFonts w:ascii="Times New Roman" w:hAnsi="Times New Roman" w:cs="Times New Roman"/>
          <w:sz w:val="24"/>
          <w:szCs w:val="24"/>
        </w:rPr>
        <w:t xml:space="preserve">whether </w:t>
      </w:r>
      <w:r w:rsidR="00F47AD3">
        <w:rPr>
          <w:rFonts w:ascii="Times New Roman" w:hAnsi="Times New Roman" w:cs="Times New Roman"/>
          <w:sz w:val="24"/>
          <w:szCs w:val="24"/>
        </w:rPr>
        <w:t>to apply</w:t>
      </w:r>
      <w:r w:rsidR="007075CC">
        <w:rPr>
          <w:rFonts w:ascii="Times New Roman" w:hAnsi="Times New Roman" w:cs="Times New Roman"/>
          <w:sz w:val="24"/>
          <w:szCs w:val="24"/>
        </w:rPr>
        <w:t xml:space="preserve"> Brown’s policies to</w:t>
      </w:r>
      <w:r w:rsidR="00F47AD3">
        <w:rPr>
          <w:rFonts w:ascii="Times New Roman" w:hAnsi="Times New Roman" w:cs="Times New Roman"/>
          <w:sz w:val="24"/>
          <w:szCs w:val="24"/>
        </w:rPr>
        <w:t xml:space="preserve"> K-12 settings.</w:t>
      </w:r>
      <w:r w:rsidR="00E35F22">
        <w:rPr>
          <w:rFonts w:ascii="Times New Roman" w:hAnsi="Times New Roman" w:cs="Times New Roman"/>
          <w:sz w:val="24"/>
          <w:szCs w:val="24"/>
        </w:rPr>
        <w:t xml:space="preserve"> In order to achieve racial balance, courts and school districts </w:t>
      </w:r>
      <w:r w:rsidR="00703B8C">
        <w:rPr>
          <w:rFonts w:ascii="Times New Roman" w:hAnsi="Times New Roman" w:cs="Times New Roman"/>
          <w:sz w:val="24"/>
          <w:szCs w:val="24"/>
        </w:rPr>
        <w:t>ought to tailor their admission process to meet the Brown’s ideals.</w:t>
      </w:r>
    </w:p>
    <w:p w14:paraId="1FEF61BE" w14:textId="77777777" w:rsidR="00450CA2" w:rsidRDefault="00703B8C" w:rsidP="00BE56BF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03B8C">
        <w:rPr>
          <w:rFonts w:ascii="Times New Roman" w:hAnsi="Times New Roman" w:cs="Times New Roman"/>
          <w:b/>
          <w:sz w:val="24"/>
          <w:szCs w:val="24"/>
        </w:rPr>
        <w:t>Legal Issues</w:t>
      </w:r>
    </w:p>
    <w:p w14:paraId="3D8573FD" w14:textId="05CBAEF3" w:rsidR="00703B8C" w:rsidRDefault="00703B8C" w:rsidP="00BE56BF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implementation of the </w:t>
      </w:r>
      <w:r w:rsidR="001E5DCA">
        <w:rPr>
          <w:rFonts w:ascii="Times New Roman" w:hAnsi="Times New Roman" w:cs="Times New Roman"/>
          <w:sz w:val="24"/>
          <w:szCs w:val="24"/>
        </w:rPr>
        <w:t>K-12 racial balance setting in public schools has le</w:t>
      </w:r>
      <w:r w:rsidR="003E32E6">
        <w:rPr>
          <w:rFonts w:ascii="Times New Roman" w:hAnsi="Times New Roman" w:cs="Times New Roman"/>
          <w:sz w:val="24"/>
          <w:szCs w:val="24"/>
        </w:rPr>
        <w:t xml:space="preserve">d to the emergence of legal issues. The </w:t>
      </w:r>
      <w:r w:rsidR="00457AA9">
        <w:rPr>
          <w:rFonts w:ascii="Times New Roman" w:hAnsi="Times New Roman" w:cs="Times New Roman"/>
          <w:sz w:val="24"/>
          <w:szCs w:val="24"/>
        </w:rPr>
        <w:t>Supreme Court</w:t>
      </w:r>
      <w:r w:rsidR="007851B6">
        <w:rPr>
          <w:rFonts w:ascii="Times New Roman" w:hAnsi="Times New Roman" w:cs="Times New Roman"/>
          <w:sz w:val="24"/>
          <w:szCs w:val="24"/>
        </w:rPr>
        <w:t xml:space="preserve">’s </w:t>
      </w:r>
      <w:r w:rsidR="0088544A">
        <w:rPr>
          <w:rFonts w:ascii="Times New Roman" w:hAnsi="Times New Roman" w:cs="Times New Roman"/>
          <w:sz w:val="24"/>
          <w:szCs w:val="24"/>
        </w:rPr>
        <w:t>opinions are</w:t>
      </w:r>
      <w:r w:rsidR="00C876EA">
        <w:rPr>
          <w:rFonts w:ascii="Times New Roman" w:hAnsi="Times New Roman" w:cs="Times New Roman"/>
          <w:sz w:val="24"/>
          <w:szCs w:val="24"/>
        </w:rPr>
        <w:t xml:space="preserve"> under fire for not recognizing constitutional rights </w:t>
      </w:r>
      <w:r w:rsidR="00CD185B">
        <w:rPr>
          <w:rFonts w:ascii="Times New Roman" w:hAnsi="Times New Roman" w:cs="Times New Roman"/>
          <w:sz w:val="24"/>
          <w:szCs w:val="24"/>
        </w:rPr>
        <w:t>completely</w:t>
      </w:r>
      <w:r w:rsidR="008754B0">
        <w:rPr>
          <w:rFonts w:ascii="Times New Roman" w:hAnsi="Times New Roman" w:cs="Times New Roman"/>
          <w:sz w:val="24"/>
          <w:szCs w:val="24"/>
        </w:rPr>
        <w:t xml:space="preserve"> in making its ruling (Brown, 2000). </w:t>
      </w:r>
      <w:r w:rsidR="0088544A">
        <w:rPr>
          <w:rFonts w:ascii="Times New Roman" w:hAnsi="Times New Roman" w:cs="Times New Roman"/>
          <w:sz w:val="24"/>
          <w:szCs w:val="24"/>
        </w:rPr>
        <w:t xml:space="preserve">The court is urged to </w:t>
      </w:r>
      <w:r w:rsidR="0059789B">
        <w:rPr>
          <w:rFonts w:ascii="Times New Roman" w:hAnsi="Times New Roman" w:cs="Times New Roman"/>
          <w:sz w:val="24"/>
          <w:szCs w:val="24"/>
        </w:rPr>
        <w:t xml:space="preserve">apply the </w:t>
      </w:r>
      <w:r w:rsidR="002E0994">
        <w:rPr>
          <w:rFonts w:ascii="Times New Roman" w:hAnsi="Times New Roman" w:cs="Times New Roman"/>
          <w:sz w:val="24"/>
          <w:szCs w:val="24"/>
        </w:rPr>
        <w:t>Equal Protection Clause to avoid jurisprudential disparities.</w:t>
      </w:r>
      <w:r w:rsidR="00CD185B">
        <w:rPr>
          <w:rFonts w:ascii="Times New Roman" w:hAnsi="Times New Roman" w:cs="Times New Roman"/>
          <w:sz w:val="24"/>
          <w:szCs w:val="24"/>
        </w:rPr>
        <w:t xml:space="preserve"> The court however, </w:t>
      </w:r>
      <w:r w:rsidR="000767E6">
        <w:rPr>
          <w:rFonts w:ascii="Times New Roman" w:hAnsi="Times New Roman" w:cs="Times New Roman"/>
          <w:sz w:val="24"/>
          <w:szCs w:val="24"/>
        </w:rPr>
        <w:t xml:space="preserve">concurs with </w:t>
      </w:r>
      <w:r w:rsidR="000B41F9">
        <w:rPr>
          <w:rFonts w:ascii="Times New Roman" w:hAnsi="Times New Roman" w:cs="Times New Roman"/>
          <w:sz w:val="24"/>
          <w:szCs w:val="24"/>
        </w:rPr>
        <w:t xml:space="preserve">Brown’s opinions </w:t>
      </w:r>
      <w:r w:rsidR="00806EFC">
        <w:rPr>
          <w:rFonts w:ascii="Times New Roman" w:hAnsi="Times New Roman" w:cs="Times New Roman"/>
          <w:sz w:val="24"/>
          <w:szCs w:val="24"/>
        </w:rPr>
        <w:t xml:space="preserve">but is at crossroads </w:t>
      </w:r>
      <w:r w:rsidR="00420CEB">
        <w:rPr>
          <w:rFonts w:ascii="Times New Roman" w:hAnsi="Times New Roman" w:cs="Times New Roman"/>
          <w:sz w:val="24"/>
          <w:szCs w:val="24"/>
        </w:rPr>
        <w:t xml:space="preserve">adapting constitutional rights </w:t>
      </w:r>
      <w:r w:rsidR="00F5759A">
        <w:rPr>
          <w:rFonts w:ascii="Times New Roman" w:hAnsi="Times New Roman" w:cs="Times New Roman"/>
          <w:sz w:val="24"/>
          <w:szCs w:val="24"/>
        </w:rPr>
        <w:t xml:space="preserve">to the special nature </w:t>
      </w:r>
      <w:r w:rsidR="002F2BCC">
        <w:rPr>
          <w:rFonts w:ascii="Times New Roman" w:hAnsi="Times New Roman" w:cs="Times New Roman"/>
          <w:sz w:val="24"/>
          <w:szCs w:val="24"/>
        </w:rPr>
        <w:t xml:space="preserve">of </w:t>
      </w:r>
      <w:r w:rsidR="00802DEB">
        <w:rPr>
          <w:rFonts w:ascii="Times New Roman" w:hAnsi="Times New Roman" w:cs="Times New Roman"/>
          <w:sz w:val="24"/>
          <w:szCs w:val="24"/>
        </w:rPr>
        <w:t>K-12 schools.</w:t>
      </w:r>
      <w:r w:rsidR="00121960">
        <w:rPr>
          <w:rFonts w:ascii="Times New Roman" w:hAnsi="Times New Roman" w:cs="Times New Roman"/>
          <w:sz w:val="24"/>
          <w:szCs w:val="24"/>
        </w:rPr>
        <w:t xml:space="preserve"> The court has put in place different </w:t>
      </w:r>
      <w:r w:rsidR="006B0BA0">
        <w:rPr>
          <w:rFonts w:ascii="Times New Roman" w:hAnsi="Times New Roman" w:cs="Times New Roman"/>
          <w:sz w:val="24"/>
          <w:szCs w:val="24"/>
        </w:rPr>
        <w:t xml:space="preserve">amendments to Brown’s ideology </w:t>
      </w:r>
      <w:r w:rsidR="00181071">
        <w:rPr>
          <w:rFonts w:ascii="Times New Roman" w:hAnsi="Times New Roman" w:cs="Times New Roman"/>
          <w:sz w:val="24"/>
          <w:szCs w:val="24"/>
        </w:rPr>
        <w:t xml:space="preserve">to resolve </w:t>
      </w:r>
      <w:r w:rsidR="00EE05BD">
        <w:rPr>
          <w:rFonts w:ascii="Times New Roman" w:hAnsi="Times New Roman" w:cs="Times New Roman"/>
          <w:sz w:val="24"/>
          <w:szCs w:val="24"/>
        </w:rPr>
        <w:lastRenderedPageBreak/>
        <w:t xml:space="preserve">violation of the students’ freedom of speech </w:t>
      </w:r>
      <w:r w:rsidR="006B0BA0">
        <w:rPr>
          <w:rFonts w:ascii="Times New Roman" w:hAnsi="Times New Roman" w:cs="Times New Roman"/>
          <w:sz w:val="24"/>
          <w:szCs w:val="24"/>
        </w:rPr>
        <w:t>and privacy rights.</w:t>
      </w:r>
      <w:r w:rsidR="00902ACA">
        <w:rPr>
          <w:rFonts w:ascii="Times New Roman" w:hAnsi="Times New Roman" w:cs="Times New Roman"/>
          <w:sz w:val="24"/>
          <w:szCs w:val="24"/>
        </w:rPr>
        <w:t xml:space="preserve"> The </w:t>
      </w:r>
      <w:r w:rsidR="004F3284">
        <w:rPr>
          <w:rFonts w:ascii="Times New Roman" w:hAnsi="Times New Roman" w:cs="Times New Roman"/>
          <w:sz w:val="24"/>
          <w:szCs w:val="24"/>
        </w:rPr>
        <w:t>reforms however limit the freedom of school administrators who seek to suspend students for more than 10 days.</w:t>
      </w:r>
    </w:p>
    <w:p w14:paraId="43BF9311" w14:textId="77777777" w:rsidR="00C22248" w:rsidRDefault="00C22248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F74DB5">
        <w:rPr>
          <w:rFonts w:ascii="Times New Roman" w:hAnsi="Times New Roman" w:cs="Times New Roman"/>
          <w:sz w:val="24"/>
          <w:szCs w:val="24"/>
        </w:rPr>
        <w:t xml:space="preserve">court is also </w:t>
      </w:r>
      <w:r w:rsidR="00F505EA">
        <w:rPr>
          <w:rFonts w:ascii="Times New Roman" w:hAnsi="Times New Roman" w:cs="Times New Roman"/>
          <w:sz w:val="24"/>
          <w:szCs w:val="24"/>
        </w:rPr>
        <w:t>under scrutiny for not addressing the power struggles between the states and officials of local</w:t>
      </w:r>
      <w:r w:rsidR="00CD185B">
        <w:rPr>
          <w:rFonts w:ascii="Times New Roman" w:hAnsi="Times New Roman" w:cs="Times New Roman"/>
          <w:sz w:val="24"/>
          <w:szCs w:val="24"/>
        </w:rPr>
        <w:t xml:space="preserve"> schools</w:t>
      </w:r>
      <w:r w:rsidR="0075314D">
        <w:rPr>
          <w:rFonts w:ascii="Times New Roman" w:hAnsi="Times New Roman" w:cs="Times New Roman"/>
          <w:sz w:val="24"/>
          <w:szCs w:val="24"/>
        </w:rPr>
        <w:t xml:space="preserve">- there are legal issues on who between the latter is accountable for </w:t>
      </w:r>
      <w:r w:rsidR="004B4CC1">
        <w:rPr>
          <w:rFonts w:ascii="Times New Roman" w:hAnsi="Times New Roman" w:cs="Times New Roman"/>
          <w:sz w:val="24"/>
          <w:szCs w:val="24"/>
        </w:rPr>
        <w:t xml:space="preserve">racial diversity </w:t>
      </w:r>
      <w:r w:rsidR="00CD185B">
        <w:rPr>
          <w:rFonts w:ascii="Times New Roman" w:hAnsi="Times New Roman" w:cs="Times New Roman"/>
          <w:sz w:val="24"/>
          <w:szCs w:val="24"/>
        </w:rPr>
        <w:t xml:space="preserve">and </w:t>
      </w:r>
      <w:r w:rsidR="004B4CC1">
        <w:rPr>
          <w:rFonts w:ascii="Times New Roman" w:hAnsi="Times New Roman" w:cs="Times New Roman"/>
          <w:sz w:val="24"/>
          <w:szCs w:val="24"/>
        </w:rPr>
        <w:t>the desegregation integration process.</w:t>
      </w:r>
      <w:r w:rsidR="00343620">
        <w:rPr>
          <w:rFonts w:ascii="Times New Roman" w:hAnsi="Times New Roman" w:cs="Times New Roman"/>
          <w:sz w:val="24"/>
          <w:szCs w:val="24"/>
        </w:rPr>
        <w:t xml:space="preserve"> Also, the issue </w:t>
      </w:r>
      <w:r w:rsidR="00C00A1E">
        <w:rPr>
          <w:rFonts w:ascii="Times New Roman" w:hAnsi="Times New Roman" w:cs="Times New Roman"/>
          <w:sz w:val="24"/>
          <w:szCs w:val="24"/>
        </w:rPr>
        <w:t xml:space="preserve">of strict scrutiny raised eyebrows </w:t>
      </w:r>
      <w:r w:rsidR="000C0251">
        <w:rPr>
          <w:rFonts w:ascii="Times New Roman" w:hAnsi="Times New Roman" w:cs="Times New Roman"/>
          <w:sz w:val="24"/>
          <w:szCs w:val="24"/>
        </w:rPr>
        <w:t xml:space="preserve">due to the difficulties </w:t>
      </w:r>
      <w:r w:rsidR="00CD185B">
        <w:rPr>
          <w:rFonts w:ascii="Times New Roman" w:hAnsi="Times New Roman" w:cs="Times New Roman"/>
          <w:sz w:val="24"/>
          <w:szCs w:val="24"/>
        </w:rPr>
        <w:t xml:space="preserve">of </w:t>
      </w:r>
      <w:r w:rsidR="000C0251">
        <w:rPr>
          <w:rFonts w:ascii="Times New Roman" w:hAnsi="Times New Roman" w:cs="Times New Roman"/>
          <w:sz w:val="24"/>
          <w:szCs w:val="24"/>
        </w:rPr>
        <w:t>tailoring government’s policies on compelling interests to the court’s jurisprudential (</w:t>
      </w:r>
      <w:proofErr w:type="spellStart"/>
      <w:r w:rsidR="000C0251">
        <w:rPr>
          <w:rFonts w:ascii="Times New Roman" w:hAnsi="Times New Roman" w:cs="Times New Roman"/>
          <w:sz w:val="24"/>
          <w:szCs w:val="24"/>
        </w:rPr>
        <w:t>Welner</w:t>
      </w:r>
      <w:proofErr w:type="spellEnd"/>
      <w:r w:rsidR="000C0251">
        <w:rPr>
          <w:rFonts w:ascii="Times New Roman" w:hAnsi="Times New Roman" w:cs="Times New Roman"/>
          <w:sz w:val="24"/>
          <w:szCs w:val="24"/>
        </w:rPr>
        <w:t xml:space="preserve">, 2006). </w:t>
      </w:r>
      <w:r w:rsidR="00A021A2">
        <w:rPr>
          <w:rFonts w:ascii="Times New Roman" w:hAnsi="Times New Roman" w:cs="Times New Roman"/>
          <w:sz w:val="24"/>
          <w:szCs w:val="24"/>
        </w:rPr>
        <w:t>There are also different opinions on compelling interests</w:t>
      </w:r>
      <w:r w:rsidR="00CD185B">
        <w:rPr>
          <w:rFonts w:ascii="Times New Roman" w:hAnsi="Times New Roman" w:cs="Times New Roman"/>
          <w:sz w:val="24"/>
          <w:szCs w:val="24"/>
        </w:rPr>
        <w:t xml:space="preserve"> by the government. Notably, the </w:t>
      </w:r>
      <w:r w:rsidR="00A021A2">
        <w:rPr>
          <w:rFonts w:ascii="Times New Roman" w:hAnsi="Times New Roman" w:cs="Times New Roman"/>
          <w:sz w:val="24"/>
          <w:szCs w:val="24"/>
        </w:rPr>
        <w:t xml:space="preserve">Chief Justice </w:t>
      </w:r>
      <w:r w:rsidR="000A39EB">
        <w:rPr>
          <w:rFonts w:ascii="Times New Roman" w:hAnsi="Times New Roman" w:cs="Times New Roman"/>
          <w:sz w:val="24"/>
          <w:szCs w:val="24"/>
        </w:rPr>
        <w:t>reiterat</w:t>
      </w:r>
      <w:r w:rsidR="00CD185B">
        <w:rPr>
          <w:rFonts w:ascii="Times New Roman" w:hAnsi="Times New Roman" w:cs="Times New Roman"/>
          <w:sz w:val="24"/>
          <w:szCs w:val="24"/>
        </w:rPr>
        <w:t>ed</w:t>
      </w:r>
      <w:r w:rsidR="000A39EB">
        <w:rPr>
          <w:rFonts w:ascii="Times New Roman" w:hAnsi="Times New Roman" w:cs="Times New Roman"/>
          <w:sz w:val="24"/>
          <w:szCs w:val="24"/>
        </w:rPr>
        <w:t xml:space="preserve"> that racial diver</w:t>
      </w:r>
      <w:r w:rsidR="00CD185B">
        <w:rPr>
          <w:rFonts w:ascii="Times New Roman" w:hAnsi="Times New Roman" w:cs="Times New Roman"/>
          <w:sz w:val="24"/>
          <w:szCs w:val="24"/>
        </w:rPr>
        <w:t>sity and isolation based on race</w:t>
      </w:r>
      <w:r w:rsidR="00951857">
        <w:rPr>
          <w:rFonts w:ascii="Times New Roman" w:hAnsi="Times New Roman" w:cs="Times New Roman"/>
          <w:sz w:val="24"/>
          <w:szCs w:val="24"/>
        </w:rPr>
        <w:t xml:space="preserve"> are not compelling government issues (Smith, 2018).</w:t>
      </w:r>
    </w:p>
    <w:p w14:paraId="2779CB12" w14:textId="77777777" w:rsidR="004F3284" w:rsidRPr="004F3284" w:rsidRDefault="004F3284" w:rsidP="00BE56BF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F3284">
        <w:rPr>
          <w:rFonts w:ascii="Times New Roman" w:hAnsi="Times New Roman" w:cs="Times New Roman"/>
          <w:b/>
          <w:sz w:val="24"/>
          <w:szCs w:val="24"/>
        </w:rPr>
        <w:t>Requirements of Equal Protection</w:t>
      </w:r>
    </w:p>
    <w:p w14:paraId="0670277E" w14:textId="23A83DDF" w:rsidR="00CD185B" w:rsidRDefault="004F3284" w:rsidP="00BE56B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Equal protection </w:t>
      </w:r>
      <w:r w:rsidR="00C40E4B">
        <w:rPr>
          <w:rFonts w:ascii="Times New Roman" w:hAnsi="Times New Roman" w:cs="Times New Roman"/>
          <w:sz w:val="24"/>
          <w:szCs w:val="24"/>
        </w:rPr>
        <w:t xml:space="preserve">affirms that race is a factor in </w:t>
      </w:r>
      <w:r w:rsidR="00CD185B">
        <w:rPr>
          <w:rFonts w:ascii="Times New Roman" w:hAnsi="Times New Roman" w:cs="Times New Roman"/>
          <w:sz w:val="24"/>
          <w:szCs w:val="24"/>
        </w:rPr>
        <w:t xml:space="preserve">the </w:t>
      </w:r>
      <w:r w:rsidR="00C40E4B">
        <w:rPr>
          <w:rFonts w:ascii="Times New Roman" w:hAnsi="Times New Roman" w:cs="Times New Roman"/>
          <w:sz w:val="24"/>
          <w:szCs w:val="24"/>
        </w:rPr>
        <w:t xml:space="preserve">admission </w:t>
      </w:r>
      <w:r w:rsidR="00CD185B">
        <w:rPr>
          <w:rFonts w:ascii="Times New Roman" w:hAnsi="Times New Roman" w:cs="Times New Roman"/>
          <w:sz w:val="24"/>
          <w:szCs w:val="24"/>
        </w:rPr>
        <w:t xml:space="preserve">of </w:t>
      </w:r>
      <w:r w:rsidR="00C40E4B">
        <w:rPr>
          <w:rFonts w:ascii="Times New Roman" w:hAnsi="Times New Roman" w:cs="Times New Roman"/>
          <w:sz w:val="24"/>
          <w:szCs w:val="24"/>
        </w:rPr>
        <w:t xml:space="preserve">K-12 students. The protection </w:t>
      </w:r>
      <w:r w:rsidR="00F30F6A">
        <w:rPr>
          <w:rFonts w:ascii="Times New Roman" w:hAnsi="Times New Roman" w:cs="Times New Roman"/>
          <w:sz w:val="24"/>
          <w:szCs w:val="24"/>
        </w:rPr>
        <w:t xml:space="preserve">process requires adoption of </w:t>
      </w:r>
      <w:r w:rsidR="00482ED2">
        <w:rPr>
          <w:rFonts w:ascii="Times New Roman" w:hAnsi="Times New Roman" w:cs="Times New Roman"/>
          <w:sz w:val="24"/>
          <w:szCs w:val="24"/>
        </w:rPr>
        <w:t xml:space="preserve">affirmative action </w:t>
      </w:r>
      <w:r w:rsidR="00010365">
        <w:rPr>
          <w:rFonts w:ascii="Times New Roman" w:hAnsi="Times New Roman" w:cs="Times New Roman"/>
          <w:sz w:val="24"/>
          <w:szCs w:val="24"/>
        </w:rPr>
        <w:t xml:space="preserve">in K-12 settings to </w:t>
      </w:r>
      <w:r w:rsidR="003C75CD">
        <w:rPr>
          <w:rFonts w:ascii="Times New Roman" w:hAnsi="Times New Roman" w:cs="Times New Roman"/>
          <w:sz w:val="24"/>
          <w:szCs w:val="24"/>
        </w:rPr>
        <w:t>address the racial diversities in public schools.</w:t>
      </w:r>
      <w:r w:rsidR="0026230F">
        <w:rPr>
          <w:rFonts w:ascii="Times New Roman" w:hAnsi="Times New Roman" w:cs="Times New Roman"/>
          <w:sz w:val="24"/>
          <w:szCs w:val="24"/>
        </w:rPr>
        <w:t xml:space="preserve"> </w:t>
      </w:r>
      <w:r w:rsidR="000C0251">
        <w:rPr>
          <w:rFonts w:ascii="Times New Roman" w:hAnsi="Times New Roman" w:cs="Times New Roman"/>
          <w:sz w:val="24"/>
          <w:szCs w:val="24"/>
        </w:rPr>
        <w:t xml:space="preserve">For instance, in Seattle, in case </w:t>
      </w:r>
      <w:r w:rsidR="00CD185B">
        <w:rPr>
          <w:rFonts w:ascii="Times New Roman" w:hAnsi="Times New Roman" w:cs="Times New Roman"/>
          <w:sz w:val="24"/>
          <w:szCs w:val="24"/>
        </w:rPr>
        <w:t xml:space="preserve">an </w:t>
      </w:r>
      <w:r w:rsidR="000C0251">
        <w:rPr>
          <w:rFonts w:ascii="Times New Roman" w:hAnsi="Times New Roman" w:cs="Times New Roman"/>
          <w:sz w:val="24"/>
          <w:szCs w:val="24"/>
        </w:rPr>
        <w:t>admission of a student would lead to an increase of the population of non-white students by 55</w:t>
      </w:r>
      <w:r w:rsidR="00BE56BF">
        <w:rPr>
          <w:rFonts w:ascii="Times New Roman" w:hAnsi="Times New Roman" w:cs="Times New Roman"/>
          <w:sz w:val="24"/>
          <w:szCs w:val="24"/>
        </w:rPr>
        <w:t>%,</w:t>
      </w:r>
      <w:r w:rsidR="000C0251">
        <w:rPr>
          <w:rFonts w:ascii="Times New Roman" w:hAnsi="Times New Roman" w:cs="Times New Roman"/>
          <w:sz w:val="24"/>
          <w:szCs w:val="24"/>
        </w:rPr>
        <w:t xml:space="preserve"> then the </w:t>
      </w:r>
      <w:r w:rsidR="00BE56BF">
        <w:rPr>
          <w:rFonts w:ascii="Times New Roman" w:hAnsi="Times New Roman" w:cs="Times New Roman"/>
          <w:sz w:val="24"/>
          <w:szCs w:val="24"/>
        </w:rPr>
        <w:t>student would</w:t>
      </w:r>
      <w:r w:rsidR="000C0251">
        <w:rPr>
          <w:rFonts w:ascii="Times New Roman" w:hAnsi="Times New Roman" w:cs="Times New Roman"/>
          <w:sz w:val="24"/>
          <w:szCs w:val="24"/>
        </w:rPr>
        <w:t xml:space="preserve"> be prevented from joining the school. </w:t>
      </w:r>
      <w:r w:rsidR="0026230F">
        <w:rPr>
          <w:rFonts w:ascii="Times New Roman" w:hAnsi="Times New Roman" w:cs="Times New Roman"/>
          <w:sz w:val="24"/>
          <w:szCs w:val="24"/>
        </w:rPr>
        <w:t>Consequently, it guarantees particular positions to the K-12 students based on their race.</w:t>
      </w:r>
      <w:r w:rsidR="00C9096B">
        <w:rPr>
          <w:rFonts w:ascii="Times New Roman" w:hAnsi="Times New Roman" w:cs="Times New Roman"/>
          <w:sz w:val="24"/>
          <w:szCs w:val="24"/>
        </w:rPr>
        <w:t xml:space="preserve"> In addition, it also requires th</w:t>
      </w:r>
      <w:r w:rsidR="003B15D2">
        <w:rPr>
          <w:rFonts w:ascii="Times New Roman" w:hAnsi="Times New Roman" w:cs="Times New Roman"/>
          <w:sz w:val="24"/>
          <w:szCs w:val="24"/>
        </w:rPr>
        <w:t xml:space="preserve">e </w:t>
      </w:r>
      <w:r w:rsidR="00951857">
        <w:rPr>
          <w:rFonts w:ascii="Times New Roman" w:hAnsi="Times New Roman" w:cs="Times New Roman"/>
          <w:sz w:val="24"/>
          <w:szCs w:val="24"/>
        </w:rPr>
        <w:t>application</w:t>
      </w:r>
      <w:r w:rsidR="003B15D2">
        <w:rPr>
          <w:rFonts w:ascii="Times New Roman" w:hAnsi="Times New Roman" w:cs="Times New Roman"/>
          <w:sz w:val="24"/>
          <w:szCs w:val="24"/>
        </w:rPr>
        <w:t xml:space="preserve"> of </w:t>
      </w:r>
      <w:r w:rsidR="00951857">
        <w:rPr>
          <w:rFonts w:ascii="Times New Roman" w:hAnsi="Times New Roman" w:cs="Times New Roman"/>
          <w:sz w:val="24"/>
          <w:szCs w:val="24"/>
        </w:rPr>
        <w:t xml:space="preserve">strict </w:t>
      </w:r>
      <w:r w:rsidR="003B15D2">
        <w:rPr>
          <w:rFonts w:ascii="Times New Roman" w:hAnsi="Times New Roman" w:cs="Times New Roman"/>
          <w:sz w:val="24"/>
          <w:szCs w:val="24"/>
        </w:rPr>
        <w:t>scrutiny when carrying out race-based classifications</w:t>
      </w:r>
      <w:r w:rsidR="002677A5">
        <w:rPr>
          <w:rFonts w:ascii="Times New Roman" w:hAnsi="Times New Roman" w:cs="Times New Roman"/>
          <w:sz w:val="24"/>
          <w:szCs w:val="24"/>
        </w:rPr>
        <w:t>, especially in government contracts and employments</w:t>
      </w:r>
      <w:r w:rsidR="0095185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51857">
        <w:rPr>
          <w:rFonts w:ascii="Times New Roman" w:hAnsi="Times New Roman" w:cs="Times New Roman"/>
          <w:sz w:val="24"/>
          <w:szCs w:val="24"/>
        </w:rPr>
        <w:t>Kaplin</w:t>
      </w:r>
      <w:proofErr w:type="spellEnd"/>
      <w:r w:rsidR="00951857">
        <w:rPr>
          <w:rFonts w:ascii="Times New Roman" w:hAnsi="Times New Roman" w:cs="Times New Roman"/>
          <w:sz w:val="24"/>
          <w:szCs w:val="24"/>
        </w:rPr>
        <w:t>, 2008)</w:t>
      </w:r>
      <w:r w:rsidR="002677A5">
        <w:rPr>
          <w:rFonts w:ascii="Times New Roman" w:hAnsi="Times New Roman" w:cs="Times New Roman"/>
          <w:sz w:val="24"/>
          <w:szCs w:val="24"/>
        </w:rPr>
        <w:t xml:space="preserve">. The requirement necessitates affirmative </w:t>
      </w:r>
      <w:r w:rsidR="00CD185B">
        <w:rPr>
          <w:rFonts w:ascii="Times New Roman" w:hAnsi="Times New Roman" w:cs="Times New Roman"/>
          <w:sz w:val="24"/>
          <w:szCs w:val="24"/>
        </w:rPr>
        <w:t>actions</w:t>
      </w:r>
      <w:r w:rsidR="002677A5">
        <w:rPr>
          <w:rFonts w:ascii="Times New Roman" w:hAnsi="Times New Roman" w:cs="Times New Roman"/>
          <w:sz w:val="24"/>
          <w:szCs w:val="24"/>
        </w:rPr>
        <w:t xml:space="preserve"> on policies involving race in K-12admissions. Consequently, the </w:t>
      </w:r>
      <w:r w:rsidR="003A08EF">
        <w:rPr>
          <w:rFonts w:ascii="Times New Roman" w:hAnsi="Times New Roman" w:cs="Times New Roman"/>
          <w:sz w:val="24"/>
          <w:szCs w:val="24"/>
        </w:rPr>
        <w:t xml:space="preserve">move has helped remedy the </w:t>
      </w:r>
      <w:r w:rsidR="00C22248">
        <w:rPr>
          <w:rFonts w:ascii="Times New Roman" w:hAnsi="Times New Roman" w:cs="Times New Roman"/>
          <w:sz w:val="24"/>
          <w:szCs w:val="24"/>
        </w:rPr>
        <w:t>segregation of people of color when offering</w:t>
      </w:r>
      <w:r w:rsidR="00CD185B">
        <w:rPr>
          <w:rFonts w:ascii="Times New Roman" w:hAnsi="Times New Roman" w:cs="Times New Roman"/>
          <w:sz w:val="24"/>
          <w:szCs w:val="24"/>
        </w:rPr>
        <w:t xml:space="preserve"> admission</w:t>
      </w:r>
      <w:r w:rsidR="00C22248">
        <w:rPr>
          <w:rFonts w:ascii="Times New Roman" w:hAnsi="Times New Roman" w:cs="Times New Roman"/>
          <w:sz w:val="24"/>
          <w:szCs w:val="24"/>
        </w:rPr>
        <w:t xml:space="preserve"> opportunities</w:t>
      </w:r>
      <w:r w:rsidR="00A021A2">
        <w:rPr>
          <w:rFonts w:ascii="Times New Roman" w:hAnsi="Times New Roman" w:cs="Times New Roman"/>
          <w:sz w:val="24"/>
          <w:szCs w:val="24"/>
        </w:rPr>
        <w:t>.</w:t>
      </w:r>
    </w:p>
    <w:p w14:paraId="25665389" w14:textId="77777777" w:rsidR="00BE56BF" w:rsidRDefault="00BE56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A7B7DC" w14:textId="14C00401" w:rsidR="00951857" w:rsidRDefault="00951857" w:rsidP="00BE56B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8453769" w14:textId="77777777" w:rsidR="00443C73" w:rsidRDefault="00443C73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Anderson, M. J. (2005). Race as a factor in K-12 student assignment plans: Balancing the </w:t>
      </w:r>
    </w:p>
    <w:p w14:paraId="326B6B5F" w14:textId="77777777" w:rsidR="00443C73" w:rsidRDefault="00443C73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Promise of Brown with the modern realities of strict scrutiny. A Journal of Catholic</w:t>
      </w:r>
    </w:p>
    <w:p w14:paraId="5E02E624" w14:textId="77777777" w:rsidR="00443C73" w:rsidRDefault="00443C73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University Law Review. 54(3): Spring.1-41.</w:t>
      </w:r>
    </w:p>
    <w:p w14:paraId="3043C99F" w14:textId="77777777" w:rsidR="00443C73" w:rsidRDefault="00443C73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Brown, K. (2000). The constitutionality of racial classifications in public </w:t>
      </w:r>
      <w:proofErr w:type="gramStart"/>
      <w:r>
        <w:rPr>
          <w:rFonts w:ascii="Times New Roman" w:hAnsi="Times New Roman" w:cs="Times New Roman"/>
          <w:sz w:val="24"/>
          <w:szCs w:val="24"/>
        </w:rPr>
        <w:t>schools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admissions. A</w:t>
      </w:r>
    </w:p>
    <w:p w14:paraId="339AAABC" w14:textId="77777777" w:rsidR="00443C73" w:rsidRDefault="00443C73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Journal of Hofstra Law Review.  29(1), 1- 81.</w:t>
      </w:r>
    </w:p>
    <w:p w14:paraId="4F94BD32" w14:textId="77777777" w:rsidR="00443C73" w:rsidRDefault="00443C73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Egelko</w:t>
      </w:r>
      <w:proofErr w:type="spellEnd"/>
      <w:r>
        <w:rPr>
          <w:rFonts w:ascii="Times New Roman" w:hAnsi="Times New Roman" w:cs="Times New Roman"/>
          <w:sz w:val="24"/>
          <w:szCs w:val="24"/>
        </w:rPr>
        <w:t>, B. (2007). Supreme Court: Schools can’t use race to assign students: SF Gate.</w:t>
      </w:r>
    </w:p>
    <w:p w14:paraId="182B0B45" w14:textId="77777777" w:rsidR="00443C73" w:rsidRDefault="00443C73" w:rsidP="00BE56BF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Retrieved from </w:t>
      </w:r>
      <w:r w:rsidRPr="00F819C9">
        <w:rPr>
          <w:rFonts w:ascii="Times New Roman" w:hAnsi="Times New Roman" w:cs="Times New Roman"/>
          <w:sz w:val="24"/>
          <w:szCs w:val="24"/>
        </w:rPr>
        <w:t>h</w:t>
      </w:r>
      <w:hyperlink r:id="rId6" w:history="1">
        <w:r w:rsidRPr="00312133">
          <w:rPr>
            <w:rStyle w:val="Hyperlink"/>
            <w:rFonts w:ascii="Times New Roman" w:hAnsi="Times New Roman" w:cs="Times New Roman"/>
            <w:sz w:val="24"/>
            <w:szCs w:val="24"/>
          </w:rPr>
          <w:t>ttps://www.sfgate.com/bayarea/article/Supreme-Court-Schools-can-t-u</w:t>
        </w:r>
      </w:hyperlink>
      <w:r w:rsidRPr="00F819C9">
        <w:rPr>
          <w:rFonts w:ascii="Times New Roman" w:hAnsi="Times New Roman" w:cs="Times New Roman"/>
          <w:sz w:val="24"/>
          <w:szCs w:val="24"/>
        </w:rPr>
        <w:t>se-race-to-assign-2584155.php</w:t>
      </w:r>
    </w:p>
    <w:p w14:paraId="465C2351" w14:textId="77777777" w:rsidR="00951857" w:rsidRDefault="00951857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Kaplin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W. A. (2006). The US Supreme Court’s K-12 racial diversity cases: Their effects on </w:t>
      </w:r>
    </w:p>
    <w:p w14:paraId="57C3BEAE" w14:textId="77777777" w:rsidR="00951857" w:rsidRDefault="00951857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Higher education admissions </w:t>
      </w:r>
      <w:proofErr w:type="gramStart"/>
      <w:r>
        <w:rPr>
          <w:rFonts w:ascii="Times New Roman" w:hAnsi="Times New Roman" w:cs="Times New Roman"/>
          <w:sz w:val="24"/>
          <w:szCs w:val="24"/>
        </w:rPr>
        <w:t>plans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the education “pipeline”: 29</w:t>
      </w:r>
      <w:r w:rsidRPr="0095185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National</w:t>
      </w:r>
    </w:p>
    <w:p w14:paraId="0B76F467" w14:textId="77777777" w:rsidR="00951857" w:rsidRDefault="00951857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Conference on Law and Higher Education: Author</w:t>
      </w:r>
      <w:r w:rsidR="00F819C9">
        <w:rPr>
          <w:rFonts w:ascii="Times New Roman" w:hAnsi="Times New Roman" w:cs="Times New Roman"/>
          <w:sz w:val="24"/>
          <w:szCs w:val="24"/>
        </w:rPr>
        <w:t xml:space="preserve">. 1- 16. </w:t>
      </w:r>
    </w:p>
    <w:p w14:paraId="6D8AC910" w14:textId="77777777" w:rsidR="00F819C9" w:rsidRDefault="00F819C9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Smith, K. (2018). Supreme Court rules on race-based assignments: Attorneys at Law. Retrieved</w:t>
      </w:r>
    </w:p>
    <w:p w14:paraId="00506D1E" w14:textId="77777777" w:rsidR="00F819C9" w:rsidRDefault="00F819C9" w:rsidP="00BE56BF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Pr="00F819C9">
        <w:rPr>
          <w:rFonts w:ascii="Times New Roman" w:hAnsi="Times New Roman" w:cs="Times New Roman"/>
          <w:sz w:val="24"/>
          <w:szCs w:val="24"/>
        </w:rPr>
        <w:t>h</w:t>
      </w:r>
      <w:hyperlink r:id="rId7" w:history="1">
        <w:r w:rsidRPr="00312133">
          <w:rPr>
            <w:rStyle w:val="Hyperlink"/>
            <w:rFonts w:ascii="Times New Roman" w:hAnsi="Times New Roman" w:cs="Times New Roman"/>
            <w:sz w:val="24"/>
            <w:szCs w:val="24"/>
          </w:rPr>
          <w:t>ttps://tharringtonsmith.com/supreme-court-rules-on-race-based-school-a</w:t>
        </w:r>
      </w:hyperlink>
      <w:r w:rsidRPr="00F819C9">
        <w:rPr>
          <w:rFonts w:ascii="Times New Roman" w:hAnsi="Times New Roman" w:cs="Times New Roman"/>
          <w:sz w:val="24"/>
          <w:szCs w:val="24"/>
        </w:rPr>
        <w:t>ssignments/</w:t>
      </w:r>
    </w:p>
    <w:p w14:paraId="2876C695" w14:textId="77777777" w:rsidR="00F819C9" w:rsidRDefault="00F819C9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Welner</w:t>
      </w:r>
      <w:proofErr w:type="spellEnd"/>
      <w:r>
        <w:rPr>
          <w:rFonts w:ascii="Times New Roman" w:hAnsi="Times New Roman" w:cs="Times New Roman"/>
          <w:sz w:val="24"/>
          <w:szCs w:val="24"/>
        </w:rPr>
        <w:t>, K. G. (2006). K-12 race-conscious student assignment policies: Law, social science, and</w:t>
      </w:r>
    </w:p>
    <w:p w14:paraId="6FACFBD3" w14:textId="77777777" w:rsidR="00F819C9" w:rsidRDefault="00F819C9" w:rsidP="00BE56B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Diversity. Journal of Review Educational Research. 76(3), 349- 382.</w:t>
      </w:r>
    </w:p>
    <w:p w14:paraId="5A45B0A2" w14:textId="77777777" w:rsidR="00F819C9" w:rsidRDefault="00F819C9" w:rsidP="00BE56BF">
      <w:pPr>
        <w:spacing w:after="0"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E960EBE" w14:textId="77777777" w:rsidR="002677A5" w:rsidRPr="00450CA2" w:rsidRDefault="002677A5" w:rsidP="00BE56B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2677A5" w:rsidRPr="00450CA2" w:rsidSect="00450CA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968A0" w14:textId="77777777" w:rsidR="001C56EC" w:rsidRDefault="001C56EC" w:rsidP="00450CA2">
      <w:pPr>
        <w:spacing w:after="0" w:line="240" w:lineRule="auto"/>
      </w:pPr>
      <w:r>
        <w:separator/>
      </w:r>
    </w:p>
  </w:endnote>
  <w:endnote w:type="continuationSeparator" w:id="0">
    <w:p w14:paraId="77972CAD" w14:textId="77777777" w:rsidR="001C56EC" w:rsidRDefault="001C56EC" w:rsidP="00450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23C0C" w14:textId="77777777" w:rsidR="001C56EC" w:rsidRDefault="001C56EC" w:rsidP="00450CA2">
      <w:pPr>
        <w:spacing w:after="0" w:line="240" w:lineRule="auto"/>
      </w:pPr>
      <w:r>
        <w:separator/>
      </w:r>
    </w:p>
  </w:footnote>
  <w:footnote w:type="continuationSeparator" w:id="0">
    <w:p w14:paraId="2EB426C8" w14:textId="77777777" w:rsidR="001C56EC" w:rsidRDefault="001C56EC" w:rsidP="00450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15ED9" w14:textId="77777777" w:rsidR="00951857" w:rsidRPr="00450CA2" w:rsidRDefault="00951857" w:rsidP="00450CA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50CA2">
      <w:rPr>
        <w:rFonts w:ascii="Times New Roman" w:hAnsi="Times New Roman" w:cs="Times New Roman"/>
        <w:sz w:val="24"/>
        <w:szCs w:val="24"/>
      </w:rPr>
      <w:t>EQUAL PROTECTION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50CA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588326776"/>
        <w:docPartObj>
          <w:docPartGallery w:val="Page Numbers (Top of Page)"/>
          <w:docPartUnique/>
        </w:docPartObj>
      </w:sdtPr>
      <w:sdtEndPr/>
      <w:sdtContent>
        <w:r w:rsidR="00037650" w:rsidRPr="00450C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0C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37650" w:rsidRPr="00450C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3C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37650" w:rsidRPr="00450CA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588326760"/>
      <w:docPartObj>
        <w:docPartGallery w:val="Page Numbers (Top of Page)"/>
        <w:docPartUnique/>
      </w:docPartObj>
    </w:sdtPr>
    <w:sdtEndPr/>
    <w:sdtContent>
      <w:p w14:paraId="6D07DCA5" w14:textId="77777777" w:rsidR="00951857" w:rsidRPr="00450CA2" w:rsidRDefault="00951857" w:rsidP="00450CA2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450CA2">
          <w:rPr>
            <w:rFonts w:ascii="Times New Roman" w:hAnsi="Times New Roman" w:cs="Times New Roman"/>
            <w:sz w:val="24"/>
            <w:szCs w:val="24"/>
          </w:rPr>
          <w:t xml:space="preserve">Running head: EQUAL PROTECTION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037650" w:rsidRPr="00450C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0C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37650" w:rsidRPr="00450C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3C7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37650" w:rsidRPr="00450CA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1A8A0AC" w14:textId="77777777" w:rsidR="00951857" w:rsidRPr="00450CA2" w:rsidRDefault="00951857" w:rsidP="00450CA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A2"/>
    <w:rsid w:val="00010365"/>
    <w:rsid w:val="00037650"/>
    <w:rsid w:val="000767E6"/>
    <w:rsid w:val="00097F4F"/>
    <w:rsid w:val="000A39EB"/>
    <w:rsid w:val="000B41F9"/>
    <w:rsid w:val="000C0251"/>
    <w:rsid w:val="00117E83"/>
    <w:rsid w:val="00121960"/>
    <w:rsid w:val="00134437"/>
    <w:rsid w:val="00144C91"/>
    <w:rsid w:val="00181071"/>
    <w:rsid w:val="001848F3"/>
    <w:rsid w:val="00197DD2"/>
    <w:rsid w:val="001C56EC"/>
    <w:rsid w:val="001E5DCA"/>
    <w:rsid w:val="0026230F"/>
    <w:rsid w:val="002677A5"/>
    <w:rsid w:val="002B298C"/>
    <w:rsid w:val="002E0994"/>
    <w:rsid w:val="002F2BCC"/>
    <w:rsid w:val="00313BEE"/>
    <w:rsid w:val="00320432"/>
    <w:rsid w:val="00331BBE"/>
    <w:rsid w:val="00343620"/>
    <w:rsid w:val="003A08EF"/>
    <w:rsid w:val="003B15D2"/>
    <w:rsid w:val="003C75CD"/>
    <w:rsid w:val="003E32E6"/>
    <w:rsid w:val="00420CEB"/>
    <w:rsid w:val="00443C73"/>
    <w:rsid w:val="00450CA2"/>
    <w:rsid w:val="00457AA9"/>
    <w:rsid w:val="00482ED2"/>
    <w:rsid w:val="004B4CC1"/>
    <w:rsid w:val="004C7ACD"/>
    <w:rsid w:val="004F3284"/>
    <w:rsid w:val="0059789B"/>
    <w:rsid w:val="00623685"/>
    <w:rsid w:val="0069768E"/>
    <w:rsid w:val="006B0BA0"/>
    <w:rsid w:val="006B5F0C"/>
    <w:rsid w:val="00703B8C"/>
    <w:rsid w:val="007075CC"/>
    <w:rsid w:val="0075314D"/>
    <w:rsid w:val="00755D3B"/>
    <w:rsid w:val="00784243"/>
    <w:rsid w:val="007851B6"/>
    <w:rsid w:val="00802DEB"/>
    <w:rsid w:val="00806EFC"/>
    <w:rsid w:val="008754B0"/>
    <w:rsid w:val="0088544A"/>
    <w:rsid w:val="008F701B"/>
    <w:rsid w:val="00902ACA"/>
    <w:rsid w:val="00951857"/>
    <w:rsid w:val="009B122C"/>
    <w:rsid w:val="009B41EF"/>
    <w:rsid w:val="009C0224"/>
    <w:rsid w:val="009D7664"/>
    <w:rsid w:val="00A021A2"/>
    <w:rsid w:val="00A423D5"/>
    <w:rsid w:val="00AB3CBC"/>
    <w:rsid w:val="00AD49EE"/>
    <w:rsid w:val="00AF253E"/>
    <w:rsid w:val="00B135A0"/>
    <w:rsid w:val="00B4213F"/>
    <w:rsid w:val="00B73F91"/>
    <w:rsid w:val="00B91F0D"/>
    <w:rsid w:val="00B95266"/>
    <w:rsid w:val="00BE56BF"/>
    <w:rsid w:val="00C00A1E"/>
    <w:rsid w:val="00C22248"/>
    <w:rsid w:val="00C252C0"/>
    <w:rsid w:val="00C40E4B"/>
    <w:rsid w:val="00C876EA"/>
    <w:rsid w:val="00C9096B"/>
    <w:rsid w:val="00CD185B"/>
    <w:rsid w:val="00CE598B"/>
    <w:rsid w:val="00D6408D"/>
    <w:rsid w:val="00D776F9"/>
    <w:rsid w:val="00DF050B"/>
    <w:rsid w:val="00E35F22"/>
    <w:rsid w:val="00EC0465"/>
    <w:rsid w:val="00EE05BD"/>
    <w:rsid w:val="00F072D4"/>
    <w:rsid w:val="00F30F6A"/>
    <w:rsid w:val="00F40846"/>
    <w:rsid w:val="00F44B73"/>
    <w:rsid w:val="00F47AD3"/>
    <w:rsid w:val="00F505EA"/>
    <w:rsid w:val="00F5759A"/>
    <w:rsid w:val="00F74DB5"/>
    <w:rsid w:val="00F819C9"/>
    <w:rsid w:val="00F96662"/>
    <w:rsid w:val="00FA2AEB"/>
    <w:rsid w:val="00FA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80C60"/>
  <w15:docId w15:val="{FF72F997-B2E7-471D-8E14-9790F0424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F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0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CA2"/>
  </w:style>
  <w:style w:type="paragraph" w:styleId="Footer">
    <w:name w:val="footer"/>
    <w:basedOn w:val="Normal"/>
    <w:link w:val="FooterChar"/>
    <w:uiPriority w:val="99"/>
    <w:unhideWhenUsed/>
    <w:rsid w:val="00450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CA2"/>
  </w:style>
  <w:style w:type="character" w:styleId="Hyperlink">
    <w:name w:val="Hyperlink"/>
    <w:basedOn w:val="DefaultParagraphFont"/>
    <w:uiPriority w:val="99"/>
    <w:unhideWhenUsed/>
    <w:rsid w:val="00F81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ttps://tharringtonsmith.com/supreme-court-rules-on-race-based-school-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tps://www.sfgate.com/bayarea/article/Supreme-Court-Schools-can-t-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Captain101</cp:lastModifiedBy>
  <cp:revision>2</cp:revision>
  <dcterms:created xsi:type="dcterms:W3CDTF">2018-11-15T05:54:00Z</dcterms:created>
  <dcterms:modified xsi:type="dcterms:W3CDTF">2018-11-15T05:54:00Z</dcterms:modified>
</cp:coreProperties>
</file>